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D0B74" w:rsidRDefault="0074698E" w:rsidP="0074698E">
      <w:pPr>
        <w:spacing w:after="0"/>
        <w:rPr>
          <w:b/>
        </w:rPr>
      </w:pPr>
    </w:p>
    <w:p w:rsidR="0074698E" w:rsidRPr="000D0B7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0D0B74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0D0B7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0D0B7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2564CA" w:rsidRPr="000D0B7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0D0B74" w:rsidRDefault="002564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0D0B74" w:rsidRDefault="00A6759C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2564CA" w:rsidRPr="000D0B7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0D0B74" w:rsidRDefault="002564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0D0B74" w:rsidRDefault="002564CA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ქ.თბილისი, აკ.წერეთლის N144</w:t>
            </w:r>
          </w:p>
        </w:tc>
      </w:tr>
      <w:tr w:rsidR="002564CA" w:rsidRPr="000D0B7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0D0B74" w:rsidRDefault="002564C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0D0B74" w:rsidRDefault="00A6759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</w:rPr>
              <w:t>01</w:t>
            </w:r>
            <w:r w:rsidRPr="000D0B74">
              <w:rPr>
                <w:rFonts w:ascii="Sylfaen" w:hAnsi="Sylfaen"/>
                <w:b/>
                <w:lang w:val="ka-GE"/>
              </w:rPr>
              <w:t>19</w:t>
            </w:r>
          </w:p>
        </w:tc>
      </w:tr>
      <w:tr w:rsidR="002564CA" w:rsidRPr="000D0B7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2564C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0D0B74" w:rsidRDefault="002564CA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2564CA" w:rsidRPr="000D0B74" w:rsidRDefault="002564CA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2564CA" w:rsidRPr="000D0B7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2564C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0D0B74" w:rsidRDefault="002564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2564CA" w:rsidRPr="000D0B74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564CA" w:rsidRPr="000D0B74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0D0B74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2564CA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564CA" w:rsidRPr="000D0B74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548B" w:rsidRPr="000D0B74" w:rsidRDefault="00C5548B" w:rsidP="00C5548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0D0B7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0D0B7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</w:p>
          <w:p w:rsidR="00C5548B" w:rsidRPr="000D0B74" w:rsidRDefault="00C5548B" w:rsidP="00C5548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0D0B7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0D0B7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0D0B7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მთავარი</w:t>
            </w:r>
            <w:r w:rsidRPr="000D0B7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</w:p>
          <w:p w:rsidR="002564CA" w:rsidRPr="00953AA3" w:rsidRDefault="002564CA" w:rsidP="00C5548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A6759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 w:rsidRPr="000D0B7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მეორე</w:t>
            </w:r>
            <w:r w:rsidRPr="000D0B7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კატეგორიის</w:t>
            </w:r>
            <w:r w:rsidRPr="000D0B7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0D0B7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AF2465" w:rsidRDefault="00AF246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2564CA" w:rsidRPr="000D0B7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953AA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2" style="position:absolute;z-index:25166950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3" style="position:absolute;z-index:25167052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2564CA" w:rsidRPr="000D0B7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2564CA" w:rsidRPr="000D0B74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0D0B74" w:rsidRDefault="002564CA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 xml:space="preserve">სამმართველოს </w:t>
            </w:r>
            <w:r w:rsidRPr="000D0B74">
              <w:rPr>
                <w:rFonts w:ascii="Sylfaen" w:hAnsi="Sylfaen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2564CA" w:rsidRPr="000D0B7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2564C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0D0B74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0D0B74" w:rsidRDefault="002564C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2564CA" w:rsidRPr="000D0B7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0D0B74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2564CA" w:rsidRPr="000D0B74" w:rsidTr="00C5548B">
        <w:trPr>
          <w:trHeight w:val="808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0D0B74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14130"/>
            </w:tblGrid>
            <w:tr w:rsidR="00B54B15" w:rsidRPr="000D0B74" w:rsidTr="00B54B15">
              <w:trPr>
                <w:trHeight w:val="683"/>
              </w:trPr>
              <w:tc>
                <w:tcPr>
                  <w:tcW w:w="7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B15" w:rsidRPr="000D0B74" w:rsidRDefault="00A6759C" w:rsidP="00B54B15">
                  <w:pPr>
                    <w:spacing w:after="0" w:line="240" w:lineRule="auto"/>
                    <w:rPr>
                      <w:rFonts w:ascii="Sylfaen" w:eastAsia="Times New Roman" w:hAnsi="Sylfaen" w:cs="Sylfaen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0D0B74">
                    <w:rPr>
                      <w:rFonts w:ascii="Sylfaen" w:eastAsia="Times New Roman" w:hAnsi="Sylfaen" w:cs="Sylfaen"/>
                      <w:b/>
                      <w:bCs/>
                      <w:sz w:val="20"/>
                      <w:szCs w:val="20"/>
                      <w:lang w:val="ka-GE"/>
                    </w:rPr>
                    <w:t>მ</w:t>
                  </w:r>
                  <w:r w:rsidR="00C5548B" w:rsidRPr="000D0B74">
                    <w:rPr>
                      <w:rFonts w:ascii="Sylfaen" w:eastAsia="Times New Roman" w:hAnsi="Sylfaen" w:cs="Sylfaen"/>
                      <w:b/>
                      <w:bCs/>
                      <w:sz w:val="20"/>
                      <w:szCs w:val="20"/>
                      <w:lang w:val="ka-GE"/>
                    </w:rPr>
                    <w:t>თავარი სპეციალისტი, უფროსი სპეციალისტი</w:t>
                  </w:r>
                </w:p>
                <w:p w:rsidR="00C5548B" w:rsidRPr="000D0B74" w:rsidRDefault="00C5548B" w:rsidP="00B54B15">
                  <w:pPr>
                    <w:spacing w:after="0" w:line="240" w:lineRule="auto"/>
                    <w:rPr>
                      <w:rFonts w:ascii="Sylfaen" w:eastAsia="Times New Roman" w:hAnsi="Sylfaen" w:cs="Sylfaen"/>
                      <w:b/>
                      <w:bCs/>
                      <w:sz w:val="20"/>
                      <w:szCs w:val="20"/>
                      <w:lang w:val="ka-GE"/>
                    </w:rPr>
                  </w:pPr>
                </w:p>
                <w:p w:rsidR="00C5548B" w:rsidRPr="000D0B74" w:rsidRDefault="00C5548B" w:rsidP="00B54B15">
                  <w:pPr>
                    <w:spacing w:after="0" w:line="240" w:lineRule="auto"/>
                    <w:rPr>
                      <w:rFonts w:ascii="Sylfaen" w:eastAsia="Times New Roman" w:hAnsi="Sylfaen" w:cs="Sylfaen"/>
                      <w:b/>
                      <w:bCs/>
                      <w:sz w:val="20"/>
                      <w:szCs w:val="20"/>
                      <w:lang w:val="ka-GE"/>
                    </w:rPr>
                  </w:pPr>
                </w:p>
                <w:p w:rsidR="00C5548B" w:rsidRPr="000D0B74" w:rsidRDefault="00C5548B" w:rsidP="00B54B15">
                  <w:pPr>
                    <w:spacing w:after="0" w:line="240" w:lineRule="auto"/>
                    <w:rPr>
                      <w:rFonts w:ascii="Sylfaen" w:eastAsia="Times New Roman" w:hAnsi="Sylfaen" w:cs="Sylfaen"/>
                      <w:b/>
                      <w:bCs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:rsidR="002564CA" w:rsidRPr="000D0B74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6F5C2C" w:rsidRPr="000D0B7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0D0B74" w:rsidRDefault="006F5C2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0D0B74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0D0B74" w:rsidRDefault="006F5C2C" w:rsidP="00CE1782">
            <w:pPr>
              <w:pStyle w:val="BodyTextIndent"/>
              <w:widowControl w:val="0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D0B7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0D0B7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53AA3">
              <w:rPr>
                <w:rFonts w:ascii="MS Gothic" w:eastAsia="MS Gothic" w:hAnsi="Wingdings" w:hint="eastAsia"/>
                <w:b/>
              </w:rPr>
            </w:r>
            <w:r w:rsidR="00953AA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0D0B74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0D0B74">
              <w:rPr>
                <w:rFonts w:ascii="MS Gothic" w:eastAsia="MS Gothic" w:hAnsi="Wingdings"/>
                <w:b/>
              </w:rPr>
              <w:t xml:space="preserve">  </w:t>
            </w:r>
            <w:r w:rsidRPr="000D0B74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6F5C2C" w:rsidRPr="000D0B74" w:rsidRDefault="006F5C2C" w:rsidP="00CE1782">
            <w:pPr>
              <w:pStyle w:val="BodyTextIndent"/>
              <w:widowControl w:val="0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0D0B7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ორშაბათი - პარასკევი 09:00-18:00 </w:t>
            </w:r>
          </w:p>
          <w:p w:rsidR="006F5C2C" w:rsidRPr="000D0B74" w:rsidRDefault="006F5C2C" w:rsidP="00CE1782">
            <w:pPr>
              <w:pStyle w:val="BodyTextIndent"/>
              <w:widowControl w:val="0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0D0B74">
              <w:rPr>
                <w:rFonts w:ascii="Sylfaen" w:hAnsi="Sylfaen"/>
                <w:b/>
                <w:sz w:val="20"/>
                <w:szCs w:val="20"/>
                <w:lang w:val="ka-GE"/>
              </w:rPr>
              <w:t>შესვენება 13:00-14:00</w:t>
            </w:r>
            <w:r w:rsidRPr="000D0B74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  <w:p w:rsidR="006F5C2C" w:rsidRPr="000D0B74" w:rsidRDefault="006F5C2C" w:rsidP="00CE1782">
            <w:pPr>
              <w:spacing w:line="360" w:lineRule="auto"/>
              <w:rPr>
                <w:rFonts w:ascii="MS Gothic" w:eastAsia="MS Gothic" w:hAnsi="Wingdings" w:hint="eastAsia"/>
                <w:b/>
              </w:rPr>
            </w:pPr>
            <w:r w:rsidRPr="000D0B74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0D0B74">
              <w:rPr>
                <w:rFonts w:ascii="Sylfaen" w:hAnsi="Sylfaen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0D0B74">
              <w:rPr>
                <w:rFonts w:ascii="Sylfaen" w:hAnsi="Sylfaen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 xml:space="preserve">  სამუშაო </w:t>
            </w:r>
            <w:r w:rsidRPr="000D0B74">
              <w:rPr>
                <w:rFonts w:ascii="Sylfaen" w:hAnsi="Sylfaen"/>
                <w:b/>
                <w:lang w:val="ka-GE"/>
              </w:rPr>
              <w:lastRenderedPageBreak/>
              <w:t>გრაფიკი</w:t>
            </w:r>
          </w:p>
        </w:tc>
      </w:tr>
      <w:tr w:rsidR="006F5C2C" w:rsidRPr="000D0B74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5C2C" w:rsidRPr="000D0B74" w:rsidRDefault="006F5C2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0D0B74" w:rsidRDefault="00B54B15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>1400</w:t>
            </w:r>
            <w:r w:rsidR="006F5C2C"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F5C2C" w:rsidRPr="000D0B7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0D0B74" w:rsidRDefault="006F5C2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131C78" w:rsidRPr="000D0B7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0D0B74" w:rsidRDefault="00131C78" w:rsidP="00CE1782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 xml:space="preserve">საქმისწარმოების   უზრუნველყოფა </w:t>
            </w:r>
          </w:p>
          <w:p w:rsidR="00131C78" w:rsidRPr="000D0B74" w:rsidRDefault="00131C78" w:rsidP="00CE1782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</w:p>
        </w:tc>
      </w:tr>
      <w:tr w:rsidR="00131C78" w:rsidRPr="000D0B7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1C78" w:rsidRPr="000D0B74" w:rsidRDefault="00131C7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0D0B74" w:rsidRDefault="00131C78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31C78" w:rsidRPr="000D0B7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2548" w:rsidRPr="000D0B74" w:rsidRDefault="00CF2548" w:rsidP="00CF2548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მატერიალურად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ინფორმაციის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მატარებლებით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(</w:t>
            </w:r>
            <w:r w:rsidRPr="000D0B74">
              <w:rPr>
                <w:b/>
                <w:bCs/>
                <w:sz w:val="20"/>
                <w:szCs w:val="20"/>
                <w:lang w:val="ka-GE"/>
              </w:rPr>
              <w:t>CD, DVD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სხვა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) (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მათ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შორის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საჯარო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ინფორმაციის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მოთხოვნის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თაობაზე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,,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მოქალაქის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</w:p>
          <w:p w:rsidR="00131C78" w:rsidRPr="000D0B74" w:rsidRDefault="00CF2548" w:rsidP="00CF2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პორტალზე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“ </w:t>
            </w:r>
            <w:r w:rsidRPr="000D0B74">
              <w:rPr>
                <w:b/>
                <w:bCs/>
                <w:sz w:val="20"/>
                <w:szCs w:val="20"/>
                <w:lang w:val="ka-GE"/>
              </w:rPr>
              <w:t>my.gov.ge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)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სამინისტროს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საფოსტო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მისამართზე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(</w:t>
            </w:r>
            <w:hyperlink r:id="rId7" w:history="1">
              <w:r w:rsidRPr="000D0B74">
                <w:rPr>
                  <w:rStyle w:val="Hyperlink"/>
                  <w:b/>
                  <w:bCs/>
                  <w:sz w:val="20"/>
                  <w:szCs w:val="20"/>
                  <w:lang w:val="ka-GE"/>
                </w:rPr>
                <w:t>info@moh.gov.ge</w:t>
              </w:r>
            </w:hyperlink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)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შემოსული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მიღება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დოკუმენტბრუნვის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სისტემაში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დარეგისტრირება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დასკანერება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ნომენკლატურის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მიხედვით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საქმეში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მოთავსება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დარეგისტრირებული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დედნის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სახით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ადრესატისათვის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გადაცემის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ხელზე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ბარათების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დოკუმენტბრუნვის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სისტემაში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ასახვა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შესაბამისი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რეესტრის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წარმოება</w:t>
            </w:r>
            <w:r w:rsidR="00A6759C" w:rsidRPr="000D0B7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და </w:t>
            </w:r>
            <w:r w:rsidR="00A6759C" w:rsidRPr="000D0B7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მაცნეში  (</w:t>
            </w:r>
            <w:r w:rsidR="00A6759C" w:rsidRPr="000D0B74">
              <w:rPr>
                <w:rFonts w:ascii="Sylfaen" w:eastAsia="Times New Roman" w:hAnsi="Sylfaen"/>
                <w:b/>
                <w:lang w:val="ka-GE"/>
              </w:rPr>
              <w:t xml:space="preserve">publish.matsne.gov.ge ) </w:t>
            </w:r>
            <w:r w:rsidR="00A6759C" w:rsidRPr="000D0B7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ბრძანებების რეგისტრაცია.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0D0B74" w:rsidRDefault="00131C78" w:rsidP="00CE1782">
            <w:pPr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53AA3">
              <w:rPr>
                <w:rFonts w:ascii="MS Gothic" w:eastAsia="MS Gothic" w:hAnsi="Wingdings" w:hint="eastAsia"/>
                <w:b/>
              </w:rPr>
            </w:r>
            <w:r w:rsidR="00953AA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0D0B74">
              <w:rPr>
                <w:rFonts w:ascii="MS Gothic" w:eastAsia="MS Gothic" w:hAnsi="Wingdings" w:hint="eastAsia"/>
                <w:b/>
              </w:rPr>
              <w:fldChar w:fldCharType="end"/>
            </w:r>
            <w:r w:rsidRPr="000D0B74">
              <w:rPr>
                <w:rFonts w:ascii="MS Gothic" w:eastAsia="MS Gothic" w:hAnsi="Wingdings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131C78" w:rsidRPr="000D0B74" w:rsidRDefault="00131C78" w:rsidP="00CE1782">
            <w:pPr>
              <w:rPr>
                <w:rFonts w:ascii="Verdana" w:hAnsi="Verdana"/>
                <w:b/>
              </w:rPr>
            </w:pPr>
          </w:p>
        </w:tc>
      </w:tr>
      <w:tr w:rsidR="00131C78" w:rsidRPr="000D0B74" w:rsidTr="00CF2548">
        <w:trPr>
          <w:trHeight w:val="268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1C78" w:rsidRPr="000D0B74" w:rsidRDefault="00CF2548" w:rsidP="00CF2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საქართველოს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მთავრობის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შესასრულებელი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დავალებების</w:t>
            </w:r>
            <w:r w:rsidR="00A6759C"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(</w:t>
            </w:r>
            <w:r w:rsidR="00A6759C" w:rsidRPr="000D0B74">
              <w:rPr>
                <w:rFonts w:ascii="Sylfaen" w:eastAsia="Times New Roman" w:hAnsi="Sylfaen"/>
                <w:b/>
                <w:lang w:val="ka-GE"/>
              </w:rPr>
              <w:t>eflow.geo.gov.ge)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მინისტრის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სამართლებრივი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აქტებისა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სხვა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დავალებების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, (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მათ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შორის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ვადაგადაცილებული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)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შესრულების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შესახებ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ინფორმაციის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მოძიება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საქართველოს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მთავრობის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კანცელარიასა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სამინისტროს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სტრუქტურული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ქვედანაყოფებისა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სამინისტროს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სახელმწიფო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კონტროლს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დაქვემდებარებული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საჯარო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სამართლის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იურიდიული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პირის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ხელმძღვანელობისათვის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ინფორმაციის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წარდგენა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0D0B74" w:rsidRDefault="00131C78" w:rsidP="00CE1782">
            <w:pPr>
              <w:rPr>
                <w:rFonts w:ascii="Verdana" w:hAnsi="Verdana"/>
                <w:b/>
              </w:rPr>
            </w:pPr>
            <w:r w:rsidRPr="000D0B7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53AA3">
              <w:rPr>
                <w:rFonts w:ascii="MS Gothic" w:eastAsia="MS Gothic" w:hAnsi="Wingdings" w:hint="eastAsia"/>
                <w:b/>
              </w:rPr>
            </w:r>
            <w:r w:rsidR="00953AA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0D0B74">
              <w:rPr>
                <w:rFonts w:ascii="MS Gothic" w:eastAsia="MS Gothic" w:hAnsi="Wingdings" w:hint="eastAsia"/>
                <w:b/>
              </w:rPr>
              <w:fldChar w:fldCharType="end"/>
            </w:r>
            <w:r w:rsidRPr="000D0B74">
              <w:rPr>
                <w:rFonts w:ascii="MS Gothic" w:eastAsia="MS Gothic" w:hAnsi="Wingdings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793197" w:rsidRPr="000D0B7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93197" w:rsidRPr="000D0B74" w:rsidRDefault="00CF2548" w:rsidP="00CF2548">
            <w:pPr>
              <w:pStyle w:val="BodyText"/>
              <w:ind w:firstLine="720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0D0B74">
              <w:rPr>
                <w:rFonts w:ascii="AcadNusx" w:hAnsi="AcadNusx"/>
                <w:b/>
                <w:bCs/>
                <w:sz w:val="20"/>
                <w:lang w:val="ka-GE"/>
              </w:rPr>
              <w:t>„</w:t>
            </w:r>
            <w:r w:rsidRPr="000D0B74">
              <w:rPr>
                <w:rFonts w:ascii="Sylfaen" w:hAnsi="Sylfaen" w:cs="Sylfaen"/>
                <w:b/>
                <w:bCs/>
                <w:sz w:val="20"/>
                <w:lang w:val="ka-GE"/>
              </w:rPr>
              <w:t>საკონტროლო</w:t>
            </w:r>
            <w:r w:rsidRPr="000D0B7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lang w:val="ka-GE"/>
              </w:rPr>
              <w:t>დავალებების</w:t>
            </w:r>
            <w:r w:rsidRPr="000D0B74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0D0B7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0D0B7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lang w:val="ka-GE"/>
              </w:rPr>
              <w:t>პროგრამაში</w:t>
            </w:r>
            <w:r w:rsidRPr="000D0B7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lang w:val="ka-GE"/>
              </w:rPr>
              <w:t>მუშაობა</w:t>
            </w:r>
            <w:r w:rsidRPr="000D0B74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CE1782">
            <w:pPr>
              <w:rPr>
                <w:rFonts w:ascii="Verdana" w:hAnsi="Verdana"/>
                <w:b/>
              </w:rPr>
            </w:pPr>
            <w:r w:rsidRPr="000D0B7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53AA3">
              <w:rPr>
                <w:rFonts w:ascii="MS Gothic" w:eastAsia="MS Gothic" w:hAnsi="Wingdings" w:hint="eastAsia"/>
                <w:b/>
              </w:rPr>
            </w:r>
            <w:r w:rsidR="00953AA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0D0B74">
              <w:rPr>
                <w:rFonts w:ascii="MS Gothic" w:eastAsia="MS Gothic" w:hAnsi="Wingdings" w:hint="eastAsia"/>
                <w:b/>
              </w:rPr>
              <w:fldChar w:fldCharType="end"/>
            </w:r>
            <w:r w:rsidRPr="000D0B74">
              <w:rPr>
                <w:rFonts w:ascii="MS Gothic" w:eastAsia="MS Gothic" w:hAnsi="Wingdings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793197" w:rsidRPr="000D0B7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93197" w:rsidRPr="000D0B74" w:rsidRDefault="00CF2548" w:rsidP="00CF2548">
            <w:pPr>
              <w:pStyle w:val="BodyText"/>
              <w:tabs>
                <w:tab w:val="left" w:pos="991"/>
              </w:tabs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0D0B74">
              <w:rPr>
                <w:rFonts w:ascii="AcadNusx" w:hAnsi="AcadNusx"/>
                <w:b/>
                <w:sz w:val="22"/>
                <w:szCs w:val="22"/>
                <w:lang w:val="ka-GE"/>
              </w:rPr>
              <w:tab/>
            </w:r>
            <w:r w:rsidRPr="000D0B74">
              <w:rPr>
                <w:rFonts w:ascii="Sylfaen" w:hAnsi="Sylfaen" w:cs="Sylfaen"/>
                <w:b/>
                <w:bCs/>
                <w:sz w:val="20"/>
                <w:lang w:val="ka-GE"/>
              </w:rPr>
              <w:t>ანგარიშგების</w:t>
            </w:r>
            <w:r w:rsidRPr="000D0B7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lang w:val="ka-GE"/>
              </w:rPr>
              <w:t>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CE1782">
            <w:pPr>
              <w:rPr>
                <w:rFonts w:ascii="Verdana" w:hAnsi="Verdana"/>
                <w:b/>
              </w:rPr>
            </w:pPr>
            <w:r w:rsidRPr="000D0B7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53AA3">
              <w:rPr>
                <w:rFonts w:ascii="MS Gothic" w:eastAsia="MS Gothic" w:hAnsi="Wingdings" w:hint="eastAsia"/>
                <w:b/>
              </w:rPr>
            </w:r>
            <w:r w:rsidR="00953AA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0D0B74">
              <w:rPr>
                <w:rFonts w:ascii="MS Gothic" w:eastAsia="MS Gothic" w:hAnsi="Wingdings" w:hint="eastAsia"/>
                <w:b/>
              </w:rPr>
              <w:fldChar w:fldCharType="end"/>
            </w:r>
            <w:r w:rsidRPr="000D0B74">
              <w:rPr>
                <w:rFonts w:ascii="MS Gothic" w:eastAsia="MS Gothic" w:hAnsi="Wingdings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CF2548" w:rsidRPr="000D0B7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2548" w:rsidRPr="000D0B74" w:rsidRDefault="00CF2548" w:rsidP="00495B2D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,,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ჯანმრთელობის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დაცვის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ერთიანი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საინფორმაციო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მიმართვების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ადმინისტრირების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მოდულიდან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“ </w:t>
            </w:r>
            <w:r w:rsidR="00A6759C" w:rsidRPr="000D0B7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</w:t>
            </w:r>
            <w:r w:rsidR="00A6759C" w:rsidRPr="000D0B74">
              <w:rPr>
                <w:rFonts w:ascii="Sylfaen" w:eastAsia="Times New Roman" w:hAnsi="Sylfaen"/>
                <w:b/>
                <w:lang w:val="ka-GE"/>
              </w:rPr>
              <w:t>referrals.moh.gov.ge)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რეფერალური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მომსახურების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სახელმწიფო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პროგრამის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ფარგლებში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მიღებული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გადაწყვეტილებების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მომზადების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სისწორის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შემოწმება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ფოსტით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გაგზავნის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  <w:r w:rsidRPr="000D0B7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ხელზე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ბარათის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რეესტრის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შესაბამისი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წესით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ნომენკლატურის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მიხედვით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საქმეში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განთავსება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548" w:rsidRPr="000D0B74" w:rsidRDefault="00CF2548" w:rsidP="00CE1782">
            <w:pPr>
              <w:rPr>
                <w:rFonts w:ascii="Verdana" w:hAnsi="Verdana"/>
                <w:b/>
              </w:rPr>
            </w:pPr>
            <w:r w:rsidRPr="000D0B7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53AA3">
              <w:rPr>
                <w:rFonts w:ascii="MS Gothic" w:eastAsia="MS Gothic" w:hAnsi="Wingdings" w:hint="eastAsia"/>
                <w:b/>
              </w:rPr>
            </w:r>
            <w:r w:rsidR="00953AA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0D0B74">
              <w:rPr>
                <w:rFonts w:ascii="MS Gothic" w:eastAsia="MS Gothic" w:hAnsi="Wingdings" w:hint="eastAsia"/>
                <w:b/>
              </w:rPr>
              <w:fldChar w:fldCharType="end"/>
            </w:r>
            <w:r w:rsidRPr="000D0B74">
              <w:rPr>
                <w:rFonts w:ascii="MS Gothic" w:eastAsia="MS Gothic" w:hAnsi="Wingdings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CF2548" w:rsidRPr="000D0B7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2548" w:rsidRPr="000D0B74" w:rsidRDefault="00CF2548" w:rsidP="00495B2D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lastRenderedPageBreak/>
              <w:t>სამმართველოს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კომპენტენციას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მიკუთვნებული დოკუმენტაციის</w:t>
            </w:r>
            <w:r w:rsidRPr="000D0B7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შესრულების</w:t>
            </w:r>
            <w:r w:rsidRPr="000D0B7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D0B7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0D0B7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548" w:rsidRPr="000D0B74" w:rsidRDefault="00CF2548" w:rsidP="00CE1782">
            <w:pPr>
              <w:rPr>
                <w:rFonts w:ascii="Verdana" w:hAnsi="Verdana"/>
                <w:b/>
              </w:rPr>
            </w:pPr>
            <w:r w:rsidRPr="000D0B7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53AA3">
              <w:rPr>
                <w:rFonts w:ascii="MS Gothic" w:eastAsia="MS Gothic" w:hAnsi="Wingdings" w:hint="eastAsia"/>
                <w:b/>
              </w:rPr>
            </w:r>
            <w:r w:rsidR="00953AA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0D0B74">
              <w:rPr>
                <w:rFonts w:ascii="MS Gothic" w:eastAsia="MS Gothic" w:hAnsi="Wingdings" w:hint="eastAsia"/>
                <w:b/>
              </w:rPr>
              <w:fldChar w:fldCharType="end"/>
            </w:r>
            <w:r w:rsidRPr="000D0B74">
              <w:rPr>
                <w:rFonts w:ascii="MS Gothic" w:eastAsia="MS Gothic" w:hAnsi="Wingdings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CF2548" w:rsidRPr="000D0B7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548" w:rsidRPr="000D0B74" w:rsidRDefault="00CF254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F2548" w:rsidRPr="000D0B7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548" w:rsidRPr="000D0B74" w:rsidRDefault="00CF254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7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0D0B7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ab/>
            </w: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  <w:t xml:space="preserve">               </w:t>
            </w:r>
          </w:p>
        </w:tc>
      </w:tr>
      <w:tr w:rsidR="00CF2548" w:rsidRPr="000D0B7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548" w:rsidRPr="000D0B74" w:rsidRDefault="00CF254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7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CF2548" w:rsidRPr="000D0B7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548" w:rsidRPr="000D0B74" w:rsidRDefault="00CF254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F2548" w:rsidRPr="000D0B74" w:rsidRDefault="00CF254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0D0B74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0D0B74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0D0B7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0D0B74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0D0B74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7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0D0B74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7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D0B7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D0B74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7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0D0B74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0D0B74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D0B74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0D0B7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0D0B74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793197" w:rsidRPr="000D0B74" w:rsidRDefault="00793197" w:rsidP="00793197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0D0B74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eastAsia="MS Gothic"/>
                <w:b/>
              </w:rPr>
              <w:instrText xml:space="preserve"> FORMCHECKBOX </w:instrText>
            </w:r>
            <w:r w:rsidR="00953AA3">
              <w:rPr>
                <w:rFonts w:eastAsia="MS Gothic"/>
                <w:b/>
              </w:rPr>
            </w:r>
            <w:r w:rsidR="00953AA3">
              <w:rPr>
                <w:rFonts w:eastAsia="MS Gothic"/>
                <w:b/>
              </w:rPr>
              <w:fldChar w:fldCharType="separate"/>
            </w:r>
            <w:r w:rsidRPr="000D0B74">
              <w:rPr>
                <w:rFonts w:eastAsia="MS Gothic"/>
                <w:b/>
              </w:rPr>
              <w:fldChar w:fldCharType="end"/>
            </w:r>
            <w:r w:rsidRPr="000D0B74">
              <w:rPr>
                <w:rFonts w:eastAsia="MS Gothic"/>
                <w:b/>
              </w:rPr>
              <w:t xml:space="preserve">        </w:t>
            </w:r>
            <w:r w:rsidRPr="000D0B74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0D0B74">
              <w:rPr>
                <w:rFonts w:eastAsia="MS Gothic"/>
                <w:b/>
              </w:rPr>
              <w:t xml:space="preserve">                      </w:t>
            </w:r>
          </w:p>
          <w:p w:rsidR="005D776B" w:rsidRPr="000D0B7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0D0B74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D0B74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0D0B74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0D0B7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0D0B74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D0B7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0D0B74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D0B74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0D0B74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0D0B74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0D0B74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7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0D0B74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7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7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სასურველი:</w:t>
            </w:r>
            <w:r w:rsidRPr="000D0B7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0D0B74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0D0B74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793197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  <w:p w:rsidR="005D776B" w:rsidRPr="000D0B74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0D0B74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74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793197" w:rsidRPr="000D0B74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 xml:space="preserve">,,საქმისწარმოების ერთიანი წესების“ დამტკიცებისა და ამოქმედების შესახებ“ </w:t>
            </w:r>
            <w:r w:rsidRPr="000D0B74">
              <w:rPr>
                <w:rFonts w:ascii="Sylfaen" w:hAnsi="Sylfaen" w:cs="Sylfaen"/>
                <w:b/>
                <w:lang w:val="ka-GE"/>
              </w:rPr>
              <w:lastRenderedPageBreak/>
              <w:t>საქართველოს პრეზიდენტის 1999 წლის 1 ივლისის №414 ბრძანებულება</w:t>
            </w:r>
          </w:p>
          <w:p w:rsidR="008C7A9C" w:rsidRPr="000D0B74" w:rsidRDefault="008C7A9C" w:rsidP="00793197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793197" w:rsidRPr="000D0B74" w:rsidRDefault="00793197" w:rsidP="00793197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</w:p>
          <w:p w:rsidR="00793197" w:rsidRPr="000D0B74" w:rsidRDefault="00793197" w:rsidP="00793197">
            <w:pPr>
              <w:spacing w:before="12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0D0B74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793197" w:rsidRPr="000D0B74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ascii="Sylfaen" w:eastAsia="MS Gothic" w:hAnsi="Sylfaen"/>
                <w:b/>
                <w:sz w:val="24"/>
                <w:szCs w:val="24"/>
              </w:rPr>
              <w:t xml:space="preserve"> </w:t>
            </w:r>
            <w:r w:rsidR="008C7A9C" w:rsidRPr="000D0B74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0D0B74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953AA3">
              <w:rPr>
                <w:rFonts w:eastAsia="MS Gothic"/>
                <w:b/>
                <w:sz w:val="24"/>
                <w:szCs w:val="24"/>
              </w:rPr>
            </w:r>
            <w:r w:rsidR="00953AA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0D0B74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0D0B74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793197" w:rsidRPr="000D0B74" w:rsidRDefault="00793197" w:rsidP="00793197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0D0B74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0D0B74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953AA3">
              <w:rPr>
                <w:rFonts w:eastAsia="MS Gothic"/>
                <w:b/>
                <w:sz w:val="24"/>
                <w:szCs w:val="24"/>
              </w:rPr>
            </w:r>
            <w:r w:rsidR="00953AA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0D0B74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0D0B74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793197" w:rsidRPr="000D0B74" w:rsidRDefault="00793197" w:rsidP="0079319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0D0B74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0D0B74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953AA3">
              <w:rPr>
                <w:rFonts w:eastAsia="MS Gothic"/>
                <w:b/>
                <w:sz w:val="24"/>
                <w:szCs w:val="24"/>
              </w:rPr>
            </w:r>
            <w:r w:rsidR="00953AA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0D0B74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0D0B74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793197" w:rsidRPr="000D0B74" w:rsidRDefault="00793197" w:rsidP="0079319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0D0B74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0D0B74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0D0B7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793197" w:rsidRPr="000D0B74" w:rsidRDefault="00793197" w:rsidP="0079319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0D0B7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0D0B74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793197" w:rsidRPr="000D0B74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793197" w:rsidRPr="000D0B74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0D0B74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793197" w:rsidRPr="000D0B74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A6759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6759C" w:rsidRPr="000D0B74" w:rsidRDefault="00A6759C" w:rsidP="00A6759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 xml:space="preserve">ინგლისური </w:t>
            </w:r>
            <w:r w:rsidRPr="000D0B7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53AA3">
              <w:rPr>
                <w:rFonts w:ascii="MS Gothic" w:eastAsia="MS Gothic" w:hAnsi="Wingdings" w:hint="eastAsia"/>
                <w:b/>
              </w:rPr>
            </w:r>
            <w:r w:rsidR="00953AA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0D0B74">
              <w:rPr>
                <w:rFonts w:ascii="MS Gothic" w:eastAsia="MS Gothic" w:hAnsi="Wingdings" w:hint="eastAsia"/>
                <w:b/>
              </w:rPr>
              <w:fldChar w:fldCharType="end"/>
            </w:r>
            <w:r w:rsidRPr="000D0B74">
              <w:rPr>
                <w:rFonts w:ascii="MS Gothic" w:eastAsia="MS Gothic" w:hAnsi="Wingdings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>საშუალო</w:t>
            </w:r>
          </w:p>
          <w:p w:rsidR="00A6759C" w:rsidRPr="000D0B74" w:rsidRDefault="00A6759C" w:rsidP="00A6759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 xml:space="preserve">რუსული  </w:t>
            </w:r>
            <w:r w:rsidRPr="000D0B7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53AA3">
              <w:rPr>
                <w:rFonts w:ascii="MS Gothic" w:eastAsia="MS Gothic" w:hAnsi="Wingdings" w:hint="eastAsia"/>
                <w:b/>
              </w:rPr>
            </w:r>
            <w:r w:rsidR="00953AA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0D0B74">
              <w:rPr>
                <w:rFonts w:ascii="MS Gothic" w:eastAsia="MS Gothic" w:hAnsi="Wingdings" w:hint="eastAsia"/>
                <w:b/>
              </w:rPr>
              <w:fldChar w:fldCharType="end"/>
            </w:r>
            <w:r w:rsidRPr="000D0B74">
              <w:rPr>
                <w:rFonts w:ascii="MS Gothic" w:eastAsia="MS Gothic" w:hAnsi="Wingdings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793197" w:rsidRPr="000D0B74" w:rsidRDefault="00793197" w:rsidP="0079319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0D0B74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793197" w:rsidRPr="000D0B74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793197" w:rsidRPr="000D0B74" w:rsidRDefault="00793197" w:rsidP="0079319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0D0B74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93197" w:rsidRPr="000D0B74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0D0B7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D0B74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D0B74">
              <w:rPr>
                <w:rFonts w:ascii="Sylfaen" w:hAnsi="Sylfaen"/>
                <w:b/>
                <w:lang w:val="ka-GE"/>
              </w:rPr>
              <w:t>სასურველი:</w:t>
            </w:r>
            <w:r w:rsidRPr="000D0B74">
              <w:rPr>
                <w:rFonts w:ascii="Sylfaen" w:hAnsi="Sylfaen"/>
                <w:b/>
              </w:rPr>
              <w:t xml:space="preserve"> </w:t>
            </w:r>
          </w:p>
        </w:tc>
      </w:tr>
      <w:tr w:rsidR="00793197" w:rsidRPr="000D0B74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0D0B74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0D0B74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793197" w:rsidRPr="000D0B74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D0B74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953AA3">
              <w:rPr>
                <w:rFonts w:eastAsia="MS Gothic"/>
                <w:b/>
                <w:sz w:val="24"/>
                <w:szCs w:val="24"/>
              </w:rPr>
            </w:r>
            <w:r w:rsidR="00953AA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0D0B74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0D0B74">
              <w:rPr>
                <w:rFonts w:eastAsia="MS Gothic"/>
                <w:b/>
                <w:sz w:val="24"/>
                <w:szCs w:val="24"/>
              </w:rPr>
              <w:t xml:space="preserve"> 3 –5 </w:t>
            </w:r>
            <w:proofErr w:type="spellStart"/>
            <w:r w:rsidRPr="000D0B74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0D0B74">
              <w:rPr>
                <w:rFonts w:eastAsia="MS Gothic"/>
                <w:b/>
                <w:sz w:val="24"/>
                <w:szCs w:val="24"/>
              </w:rPr>
              <w:t xml:space="preserve">                          </w:t>
            </w:r>
          </w:p>
          <w:p w:rsidR="00793197" w:rsidRPr="000D0B74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793197" w:rsidRPr="000D0B74" w:rsidRDefault="00793197" w:rsidP="00793197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0D0B74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lastRenderedPageBreak/>
              <w:t>გამოცდილების</w:t>
            </w:r>
            <w:r w:rsidRPr="000D0B74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0D0B74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793197" w:rsidRPr="000D0B74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793197" w:rsidRPr="000D0B74" w:rsidRDefault="00793197" w:rsidP="0079319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0D0B74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0D0B74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0D0B74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0D0B74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0D0B74">
              <w:rPr>
                <w:rFonts w:ascii="Sylfaen" w:hAnsi="Sylfaen"/>
                <w:b/>
              </w:rPr>
              <w:t>:</w:t>
            </w:r>
          </w:p>
        </w:tc>
      </w:tr>
      <w:tr w:rsidR="00793197" w:rsidRPr="000D0B74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793197" w:rsidRPr="000D0B74" w:rsidRDefault="00793197" w:rsidP="0079319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0D0B74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74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0D0B74">
              <w:rPr>
                <w:rFonts w:ascii="Sylfaen" w:hAnsi="Sylfaen"/>
                <w:b/>
              </w:rPr>
              <w:t xml:space="preserve"> </w:t>
            </w:r>
            <w:r w:rsidRPr="000D0B74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93197" w:rsidRPr="000D0B74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0D0B74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793197" w:rsidRPr="000D0B74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793197" w:rsidRPr="000D0B74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793197" w:rsidRPr="000D0B74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793197" w:rsidRPr="000D0B74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793197" w:rsidRPr="000D0B74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793197" w:rsidRPr="000D0B74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793197" w:rsidRPr="000D0B74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793197" w:rsidRPr="000D0B74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793197" w:rsidRPr="000D0B74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0B74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793197" w:rsidRPr="000D0B74" w:rsidRDefault="00793197" w:rsidP="00793197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27851" w:rsidRPr="000D0B74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0D0B74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0D0B74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D0B74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0D0B74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D0B74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0D0B74">
        <w:rPr>
          <w:rFonts w:ascii="Sylfaen" w:hAnsi="Sylfaen"/>
          <w:b/>
          <w:lang w:val="ka-GE"/>
        </w:rPr>
        <w:t>თარიღი  _________________________</w:t>
      </w:r>
    </w:p>
    <w:p w:rsidR="00953AA3" w:rsidRPr="00953AA3" w:rsidRDefault="00953AA3" w:rsidP="00FE1C08">
      <w:pPr>
        <w:spacing w:before="240" w:after="0"/>
        <w:rPr>
          <w:rFonts w:ascii="Sylfaen" w:hAnsi="Sylfaen"/>
          <w:b/>
        </w:rPr>
      </w:pPr>
    </w:p>
    <w:p w:rsidR="00953AA3" w:rsidRDefault="00953AA3" w:rsidP="00953AA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0D0B74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თანამდებობა)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ჯულიეტა რამიშვილი</w:t>
      </w:r>
    </w:p>
    <w:p w:rsidR="00953AA3" w:rsidRPr="000D0B74" w:rsidRDefault="00953AA3" w:rsidP="00953AA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  <w:bookmarkStart w:id="1" w:name="_GoBack"/>
      <w:bookmarkEnd w:id="1"/>
    </w:p>
    <w:p w:rsidR="00953AA3" w:rsidRPr="000D0B74" w:rsidRDefault="00953AA3" w:rsidP="00953AA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D0B74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953AA3" w:rsidRPr="000D0B74" w:rsidRDefault="00953AA3" w:rsidP="00953AA3">
      <w:pPr>
        <w:spacing w:before="240" w:after="0"/>
        <w:rPr>
          <w:b/>
        </w:rPr>
      </w:pPr>
      <w:r w:rsidRPr="000D0B74">
        <w:rPr>
          <w:rFonts w:ascii="Sylfaen" w:hAnsi="Sylfaen"/>
          <w:b/>
          <w:lang w:val="ka-GE"/>
        </w:rPr>
        <w:t>თარიღი  _________________________</w:t>
      </w:r>
    </w:p>
    <w:p w:rsidR="00953AA3" w:rsidRPr="00953AA3" w:rsidRDefault="00953AA3" w:rsidP="00FE1C08">
      <w:pPr>
        <w:spacing w:before="240" w:after="0"/>
        <w:rPr>
          <w:b/>
        </w:rPr>
      </w:pPr>
    </w:p>
    <w:sectPr w:rsidR="00953AA3" w:rsidRPr="00953AA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D0B74"/>
    <w:rsid w:val="000F7F4D"/>
    <w:rsid w:val="00127851"/>
    <w:rsid w:val="00131C78"/>
    <w:rsid w:val="00140295"/>
    <w:rsid w:val="0014563E"/>
    <w:rsid w:val="002041EC"/>
    <w:rsid w:val="002564CA"/>
    <w:rsid w:val="003050A0"/>
    <w:rsid w:val="00332E5E"/>
    <w:rsid w:val="00340A2C"/>
    <w:rsid w:val="00341D75"/>
    <w:rsid w:val="003A5F01"/>
    <w:rsid w:val="003B257E"/>
    <w:rsid w:val="003C05E0"/>
    <w:rsid w:val="004666A2"/>
    <w:rsid w:val="005D35CF"/>
    <w:rsid w:val="005D776B"/>
    <w:rsid w:val="006C54B7"/>
    <w:rsid w:val="006F3027"/>
    <w:rsid w:val="006F5C2C"/>
    <w:rsid w:val="007009D8"/>
    <w:rsid w:val="007275E6"/>
    <w:rsid w:val="0074698E"/>
    <w:rsid w:val="00765DB6"/>
    <w:rsid w:val="00776486"/>
    <w:rsid w:val="00790C3C"/>
    <w:rsid w:val="00793197"/>
    <w:rsid w:val="00886E80"/>
    <w:rsid w:val="008C7A9C"/>
    <w:rsid w:val="008D2B69"/>
    <w:rsid w:val="009110BB"/>
    <w:rsid w:val="00953AA3"/>
    <w:rsid w:val="00962D44"/>
    <w:rsid w:val="009722EE"/>
    <w:rsid w:val="009856E3"/>
    <w:rsid w:val="009E42F5"/>
    <w:rsid w:val="00A246A4"/>
    <w:rsid w:val="00A6759C"/>
    <w:rsid w:val="00AF2465"/>
    <w:rsid w:val="00B313DF"/>
    <w:rsid w:val="00B54B15"/>
    <w:rsid w:val="00C5548B"/>
    <w:rsid w:val="00CF2548"/>
    <w:rsid w:val="00D32D27"/>
    <w:rsid w:val="00DB3C17"/>
    <w:rsid w:val="00E035B4"/>
    <w:rsid w:val="00E05CF9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F5C2C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F5C2C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C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C7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2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mo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2466-F074-48C1-9BB6-232E2310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57</cp:revision>
  <cp:lastPrinted>2019-07-01T06:13:00Z</cp:lastPrinted>
  <dcterms:created xsi:type="dcterms:W3CDTF">2015-05-22T17:38:00Z</dcterms:created>
  <dcterms:modified xsi:type="dcterms:W3CDTF">2019-07-01T09:21:00Z</dcterms:modified>
</cp:coreProperties>
</file>